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adjustRightInd w:val="0"/>
        <w:jc w:val="left"/>
        <w:textAlignment w:val="baseline"/>
        <w:rPr>
          <w:rFonts w:hint="default" w:ascii="Arial" w:hAnsi="Arial" w:eastAsia="宋体" w:cs="Arial"/>
          <w:b/>
          <w:kern w:val="0"/>
          <w:sz w:val="24"/>
          <w:szCs w:val="24"/>
          <w:lang w:val="en-US" w:eastAsia="zh-CN"/>
        </w:rPr>
      </w:pPr>
      <w:r>
        <w:rPr>
          <w:rFonts w:ascii="Arial" w:hAnsi="Arial" w:eastAsia="MS Mincho" w:cs="Arial"/>
          <w:b/>
          <w:kern w:val="0"/>
          <w:sz w:val="24"/>
          <w:szCs w:val="24"/>
          <w:lang w:val="en-GB" w:eastAsia="en-GB"/>
        </w:rPr>
        <w:t>3GPP TSG-RAN WG2 Meeting #1</w:t>
      </w:r>
      <w:r>
        <w:rPr>
          <w:rFonts w:hint="eastAsia" w:ascii="Arial" w:hAnsi="Arial" w:eastAsia="宋体" w:cs="Arial"/>
          <w:b/>
          <w:kern w:val="0"/>
          <w:sz w:val="24"/>
          <w:szCs w:val="24"/>
          <w:lang w:val="en-US" w:eastAsia="zh-CN"/>
        </w:rPr>
        <w:t>21</w:t>
      </w:r>
      <w:r>
        <w:rPr>
          <w:rFonts w:ascii="Arial" w:hAnsi="Arial" w:eastAsia="MS Mincho" w:cs="Arial"/>
          <w:b/>
          <w:kern w:val="0"/>
          <w:sz w:val="24"/>
          <w:szCs w:val="24"/>
          <w:lang w:val="en-GB" w:eastAsia="en-GB"/>
        </w:rPr>
        <w:t xml:space="preserve">        </w:t>
      </w:r>
      <w:r>
        <w:rPr>
          <w:rFonts w:ascii="Arial" w:hAnsi="Arial" w:eastAsia="MS Mincho" w:cs="Arial"/>
          <w:b/>
          <w:kern w:val="0"/>
          <w:sz w:val="24"/>
          <w:szCs w:val="24"/>
          <w:lang w:val="en-GB" w:eastAsia="en-GB"/>
        </w:rPr>
        <w:tab/>
      </w:r>
      <w:r>
        <w:rPr>
          <w:rFonts w:ascii="Arial" w:hAnsi="Arial" w:eastAsia="MS Mincho" w:cs="Arial"/>
          <w:b/>
          <w:kern w:val="0"/>
          <w:sz w:val="24"/>
          <w:szCs w:val="24"/>
          <w:lang w:val="en-GB" w:eastAsia="en-GB"/>
        </w:rPr>
        <w:t xml:space="preserve">                   </w:t>
      </w:r>
      <w:r>
        <w:rPr>
          <w:rFonts w:ascii="Arial" w:hAnsi="Arial" w:eastAsia="MS Mincho" w:cs="Arial"/>
          <w:b/>
          <w:kern w:val="0"/>
          <w:sz w:val="22"/>
          <w:lang w:val="en-GB" w:eastAsia="en-GB"/>
        </w:rPr>
        <w:t>R2-2</w:t>
      </w:r>
      <w:r>
        <w:rPr>
          <w:rFonts w:hint="eastAsia" w:ascii="Arial" w:hAnsi="Arial" w:eastAsia="宋体" w:cs="Arial"/>
          <w:b/>
          <w:kern w:val="0"/>
          <w:sz w:val="22"/>
          <w:lang w:val="en-US" w:eastAsia="zh-CN"/>
        </w:rPr>
        <w:t>301254</w:t>
      </w:r>
    </w:p>
    <w:p>
      <w:pPr>
        <w:overflowPunct w:val="0"/>
        <w:autoSpaceDE w:val="0"/>
        <w:autoSpaceDN w:val="0"/>
        <w:adjustRightInd w:val="0"/>
        <w:jc w:val="left"/>
        <w:textAlignment w:val="baseline"/>
        <w:rPr>
          <w:rFonts w:hint="eastAsia" w:ascii="Arial" w:hAnsi="Arial" w:eastAsia="宋体" w:cs="Arial"/>
          <w:b/>
          <w:bCs/>
          <w:kern w:val="0"/>
          <w:sz w:val="24"/>
          <w:szCs w:val="24"/>
          <w:lang w:val="en-GB" w:eastAsia="zh-CN"/>
        </w:rPr>
      </w:pPr>
      <w:r>
        <w:rPr>
          <w:rFonts w:hint="eastAsia" w:ascii="Arial" w:hAnsi="Arial" w:eastAsia="宋体" w:cs="Arial"/>
          <w:b/>
          <w:bCs/>
          <w:kern w:val="0"/>
          <w:sz w:val="24"/>
          <w:szCs w:val="24"/>
          <w:lang w:val="en-US" w:eastAsia="zh-CN"/>
        </w:rPr>
        <w:t>Athens</w:t>
      </w:r>
      <w:r>
        <w:rPr>
          <w:rFonts w:ascii="Arial" w:hAnsi="Arial" w:eastAsia="宋体" w:cs="Arial"/>
          <w:b/>
          <w:bCs/>
          <w:kern w:val="0"/>
          <w:sz w:val="24"/>
          <w:szCs w:val="24"/>
          <w:lang w:val="en-GB"/>
        </w:rPr>
        <w:t xml:space="preserve">, </w:t>
      </w:r>
      <w:r>
        <w:rPr>
          <w:rFonts w:hint="eastAsia" w:ascii="Arial" w:hAnsi="Arial" w:eastAsia="宋体" w:cs="Arial"/>
          <w:b/>
          <w:bCs/>
          <w:kern w:val="0"/>
          <w:sz w:val="24"/>
          <w:szCs w:val="24"/>
          <w:lang w:val="en-US" w:eastAsia="zh-CN"/>
        </w:rPr>
        <w:t>2</w:t>
      </w:r>
      <w:r>
        <w:rPr>
          <w:rFonts w:ascii="Arial" w:hAnsi="Arial" w:eastAsia="宋体" w:cs="Arial"/>
          <w:b/>
          <w:bCs/>
          <w:kern w:val="0"/>
          <w:sz w:val="24"/>
          <w:szCs w:val="24"/>
          <w:lang w:val="en-GB"/>
        </w:rPr>
        <w:t xml:space="preserve">7 </w:t>
      </w:r>
      <w:r>
        <w:rPr>
          <w:rFonts w:hint="eastAsia" w:ascii="Arial" w:hAnsi="Arial" w:eastAsia="宋体" w:cs="Arial"/>
          <w:b/>
          <w:bCs/>
          <w:kern w:val="0"/>
          <w:sz w:val="24"/>
          <w:szCs w:val="24"/>
          <w:lang w:val="en-US" w:eastAsia="zh-CN"/>
        </w:rPr>
        <w:t xml:space="preserve">February </w:t>
      </w:r>
      <w:r>
        <w:rPr>
          <w:rFonts w:ascii="Arial" w:hAnsi="Arial" w:eastAsia="宋体" w:cs="Arial"/>
          <w:b/>
          <w:bCs/>
          <w:kern w:val="0"/>
          <w:sz w:val="24"/>
          <w:szCs w:val="24"/>
          <w:lang w:val="en-GB"/>
        </w:rPr>
        <w:t xml:space="preserve">– </w:t>
      </w:r>
      <w:r>
        <w:rPr>
          <w:rFonts w:hint="eastAsia" w:ascii="Arial" w:hAnsi="Arial" w:eastAsia="宋体" w:cs="Arial"/>
          <w:b/>
          <w:bCs/>
          <w:kern w:val="0"/>
          <w:sz w:val="24"/>
          <w:szCs w:val="24"/>
          <w:lang w:val="en-US" w:eastAsia="zh-CN"/>
        </w:rPr>
        <w:t>3</w:t>
      </w:r>
      <w:r>
        <w:rPr>
          <w:rFonts w:ascii="Arial" w:hAnsi="Arial" w:eastAsia="宋体" w:cs="Arial"/>
          <w:b/>
          <w:bCs/>
          <w:kern w:val="0"/>
          <w:sz w:val="24"/>
          <w:szCs w:val="24"/>
          <w:lang w:val="en-GB"/>
        </w:rPr>
        <w:t xml:space="preserve"> </w:t>
      </w:r>
      <w:r>
        <w:rPr>
          <w:rFonts w:hint="eastAsia" w:ascii="Arial" w:hAnsi="Arial" w:eastAsia="宋体" w:cs="Arial"/>
          <w:b/>
          <w:bCs/>
          <w:kern w:val="0"/>
          <w:sz w:val="24"/>
          <w:szCs w:val="24"/>
          <w:lang w:val="en-US" w:eastAsia="zh-CN"/>
        </w:rPr>
        <w:t>March</w:t>
      </w:r>
      <w:r>
        <w:rPr>
          <w:rFonts w:ascii="Arial" w:hAnsi="Arial" w:eastAsia="宋体" w:cs="Arial"/>
          <w:b/>
          <w:bCs/>
          <w:kern w:val="0"/>
          <w:sz w:val="24"/>
          <w:szCs w:val="24"/>
          <w:lang w:val="en-GB"/>
        </w:rPr>
        <w:t>, 202</w:t>
      </w:r>
      <w:r>
        <w:rPr>
          <w:rFonts w:hint="eastAsia" w:ascii="Arial" w:hAnsi="Arial" w:eastAsia="宋体" w:cs="Arial"/>
          <w:b/>
          <w:bCs/>
          <w:kern w:val="0"/>
          <w:sz w:val="24"/>
          <w:szCs w:val="24"/>
          <w:lang w:val="en-US" w:eastAsia="zh-CN"/>
        </w:rPr>
        <w:t>3</w:t>
      </w:r>
    </w:p>
    <w:p>
      <w:pPr>
        <w:overflowPunct w:val="0"/>
        <w:autoSpaceDE w:val="0"/>
        <w:autoSpaceDN w:val="0"/>
        <w:adjustRightInd w:val="0"/>
        <w:jc w:val="left"/>
        <w:textAlignment w:val="baseline"/>
        <w:rPr>
          <w:rFonts w:ascii="Arial" w:hAnsi="Arial" w:eastAsia="宋体" w:cs="Arial"/>
          <w:b/>
          <w:bCs/>
          <w:kern w:val="0"/>
          <w:sz w:val="24"/>
          <w:szCs w:val="20"/>
          <w:lang w:val="en-GB" w:eastAsia="ja-JP"/>
        </w:rPr>
      </w:pPr>
    </w:p>
    <w:p>
      <w:pPr>
        <w:widowControl/>
        <w:tabs>
          <w:tab w:val="left" w:pos="1985"/>
        </w:tabs>
        <w:spacing w:after="120"/>
        <w:jc w:val="left"/>
        <w:rPr>
          <w:rFonts w:hint="eastAsia" w:ascii="Arial" w:hAnsi="Arial" w:eastAsia="宋体" w:cs="Arial"/>
          <w:b/>
          <w:bCs/>
          <w:kern w:val="0"/>
          <w:sz w:val="24"/>
          <w:szCs w:val="20"/>
          <w:lang w:val="en-US" w:eastAsia="zh-CN"/>
        </w:rPr>
      </w:pPr>
      <w:r>
        <w:rPr>
          <w:rFonts w:ascii="Arial" w:hAnsi="Arial" w:eastAsia="MS Mincho" w:cs="Arial"/>
          <w:b/>
          <w:bCs/>
          <w:kern w:val="0"/>
          <w:sz w:val="24"/>
          <w:szCs w:val="20"/>
          <w:lang w:val="en-GB" w:eastAsia="en-US"/>
        </w:rPr>
        <w:t>Agenda item:</w:t>
      </w:r>
      <w:r>
        <w:rPr>
          <w:rFonts w:ascii="Arial" w:hAnsi="Arial" w:eastAsia="MS Mincho" w:cs="Arial"/>
          <w:b/>
          <w:bCs/>
          <w:kern w:val="0"/>
          <w:sz w:val="24"/>
          <w:szCs w:val="20"/>
          <w:lang w:val="en-GB" w:eastAsia="en-US"/>
        </w:rPr>
        <w:tab/>
      </w:r>
      <w:r>
        <w:rPr>
          <w:rFonts w:ascii="Arial" w:hAnsi="Arial" w:eastAsia="宋体" w:cs="Arial"/>
          <w:b/>
          <w:bCs/>
          <w:kern w:val="0"/>
          <w:sz w:val="24"/>
          <w:szCs w:val="20"/>
          <w:lang w:val="en-GB"/>
        </w:rPr>
        <w:t>8.</w:t>
      </w:r>
      <w:r>
        <w:rPr>
          <w:rFonts w:hint="eastAsia" w:ascii="Arial" w:hAnsi="Arial" w:eastAsia="宋体" w:cs="Arial"/>
          <w:b/>
          <w:bCs/>
          <w:kern w:val="0"/>
          <w:sz w:val="24"/>
          <w:szCs w:val="20"/>
          <w:lang w:val="en-US" w:eastAsia="zh-CN"/>
        </w:rPr>
        <w:t>6</w:t>
      </w:r>
      <w:r>
        <w:rPr>
          <w:rFonts w:ascii="Arial" w:hAnsi="Arial" w:eastAsia="宋体" w:cs="Arial"/>
          <w:b/>
          <w:bCs/>
          <w:kern w:val="0"/>
          <w:sz w:val="24"/>
          <w:szCs w:val="20"/>
          <w:lang w:val="en-GB"/>
        </w:rPr>
        <w:t>.</w:t>
      </w:r>
      <w:r>
        <w:rPr>
          <w:rFonts w:hint="eastAsia" w:ascii="Arial" w:hAnsi="Arial" w:eastAsia="宋体" w:cs="Arial"/>
          <w:b/>
          <w:bCs/>
          <w:kern w:val="0"/>
          <w:sz w:val="24"/>
          <w:szCs w:val="20"/>
          <w:lang w:val="en-US" w:eastAsia="zh-CN"/>
        </w:rPr>
        <w:t>4</w:t>
      </w:r>
    </w:p>
    <w:p>
      <w:pPr>
        <w:widowControl/>
        <w:tabs>
          <w:tab w:val="left" w:pos="1985"/>
        </w:tabs>
        <w:spacing w:after="180"/>
        <w:ind w:left="1985" w:hanging="1985"/>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Source:</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CMCC</w:t>
      </w:r>
    </w:p>
    <w:p>
      <w:pPr>
        <w:widowControl/>
        <w:spacing w:after="180"/>
        <w:ind w:left="1985" w:hanging="1985"/>
        <w:jc w:val="left"/>
        <w:rPr>
          <w:rFonts w:hint="default" w:ascii="Arial" w:hAnsi="Arial" w:eastAsia="宋体" w:cs="Arial"/>
          <w:b/>
          <w:bCs/>
          <w:kern w:val="0"/>
          <w:sz w:val="24"/>
          <w:szCs w:val="20"/>
          <w:lang w:val="en-US" w:eastAsia="zh-CN"/>
        </w:rPr>
      </w:pPr>
      <w:r>
        <w:rPr>
          <w:rFonts w:ascii="Arial" w:hAnsi="Arial" w:eastAsia="宋体" w:cs="Arial"/>
          <w:b/>
          <w:bCs/>
          <w:kern w:val="0"/>
          <w:sz w:val="24"/>
          <w:szCs w:val="20"/>
          <w:lang w:val="en-GB" w:eastAsia="en-US"/>
        </w:rPr>
        <w:t>Title:</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 xml:space="preserve">Discussion on the </w:t>
      </w:r>
      <w:r>
        <w:rPr>
          <w:rFonts w:hint="eastAsia" w:ascii="Arial" w:hAnsi="Arial" w:eastAsia="宋体" w:cs="Arial"/>
          <w:b/>
          <w:bCs/>
          <w:kern w:val="0"/>
          <w:sz w:val="24"/>
          <w:szCs w:val="20"/>
          <w:lang w:val="en-US" w:eastAsia="zh-CN"/>
        </w:rPr>
        <w:t>discontinuous coverage for IoT-NTN</w:t>
      </w:r>
    </w:p>
    <w:p>
      <w:pPr>
        <w:widowControl/>
        <w:spacing w:after="180"/>
        <w:ind w:left="1985" w:hanging="1985"/>
        <w:jc w:val="left"/>
        <w:rPr>
          <w:rFonts w:hint="default" w:ascii="Arial" w:hAnsi="Arial" w:eastAsia="宋体" w:cs="Arial"/>
          <w:b/>
          <w:bCs/>
          <w:kern w:val="0"/>
          <w:sz w:val="24"/>
          <w:szCs w:val="20"/>
          <w:lang w:val="en-US" w:eastAsia="zh-CN"/>
        </w:rPr>
      </w:pPr>
      <w:r>
        <w:rPr>
          <w:rFonts w:ascii="Arial" w:hAnsi="Arial" w:eastAsia="宋体" w:cs="Arial"/>
          <w:b/>
          <w:bCs/>
          <w:kern w:val="0"/>
          <w:sz w:val="24"/>
          <w:szCs w:val="20"/>
          <w:lang w:val="en-GB" w:eastAsia="en-US"/>
        </w:rPr>
        <w:t>WID/SID:</w:t>
      </w:r>
      <w:r>
        <w:rPr>
          <w:rFonts w:ascii="Arial" w:hAnsi="Arial" w:eastAsia="宋体" w:cs="Arial"/>
          <w:b/>
          <w:bCs/>
          <w:kern w:val="0"/>
          <w:sz w:val="24"/>
          <w:szCs w:val="20"/>
          <w:lang w:val="en-GB" w:eastAsia="en-US"/>
        </w:rPr>
        <w:tab/>
      </w:r>
      <w:r>
        <w:rPr>
          <w:rFonts w:hint="eastAsia" w:ascii="Arial" w:hAnsi="Arial" w:eastAsia="宋体" w:cs="Arial"/>
          <w:b/>
          <w:bCs/>
          <w:kern w:val="0"/>
          <w:sz w:val="24"/>
          <w:szCs w:val="20"/>
          <w:lang w:val="en-GB" w:eastAsia="en-US"/>
        </w:rPr>
        <w:t>IoT_NTN_enh</w:t>
      </w:r>
    </w:p>
    <w:p>
      <w:pPr>
        <w:widowControl/>
        <w:tabs>
          <w:tab w:val="left" w:pos="1985"/>
        </w:tabs>
        <w:spacing w:after="180"/>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Document for:</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Discussion and Decision</w:t>
      </w:r>
    </w:p>
    <w:p>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1</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Introduction</w:t>
      </w:r>
    </w:p>
    <w:p>
      <w:pPr>
        <w:widowControl/>
        <w:spacing w:after="180"/>
        <w:rPr>
          <w:rFonts w:ascii="Arial" w:hAnsi="Arial" w:eastAsia="宋体" w:cs="Arial"/>
          <w:kern w:val="0"/>
          <w:sz w:val="20"/>
          <w:szCs w:val="20"/>
          <w:lang w:val="en-GB" w:eastAsia="en-US"/>
        </w:rPr>
      </w:pPr>
      <w:r>
        <w:rPr>
          <w:rFonts w:ascii="Arial" w:hAnsi="Arial" w:eastAsia="宋体" w:cs="Arial"/>
          <w:kern w:val="0"/>
          <w:sz w:val="20"/>
          <w:szCs w:val="20"/>
          <w:lang w:val="en-GB" w:eastAsia="en-US"/>
        </w:rPr>
        <w:t>In RAN#9</w:t>
      </w:r>
      <w:r>
        <w:rPr>
          <w:rFonts w:hint="eastAsia" w:ascii="Arial" w:hAnsi="Arial" w:eastAsia="宋体" w:cs="Arial"/>
          <w:kern w:val="0"/>
          <w:sz w:val="20"/>
          <w:szCs w:val="20"/>
          <w:lang w:val="en-US" w:eastAsia="zh-CN"/>
        </w:rPr>
        <w:t>8</w:t>
      </w:r>
      <w:r>
        <w:rPr>
          <w:rFonts w:hint="eastAsia" w:ascii="Arial" w:hAnsi="Arial" w:eastAsia="宋体" w:cs="Arial"/>
          <w:kern w:val="0"/>
          <w:sz w:val="20"/>
          <w:szCs w:val="20"/>
          <w:lang w:val="en-GB"/>
        </w:rPr>
        <w:t>-e</w:t>
      </w:r>
      <w:r>
        <w:rPr>
          <w:rFonts w:ascii="Arial" w:hAnsi="Arial" w:eastAsia="宋体" w:cs="Arial"/>
          <w:kern w:val="0"/>
          <w:sz w:val="20"/>
          <w:szCs w:val="20"/>
          <w:lang w:val="en-GB" w:eastAsia="en-US"/>
        </w:rPr>
        <w:t xml:space="preserve">, a </w:t>
      </w:r>
      <w:r>
        <w:rPr>
          <w:rFonts w:hint="eastAsia" w:ascii="Arial" w:hAnsi="Arial" w:eastAsia="宋体" w:cs="Arial"/>
          <w:kern w:val="0"/>
          <w:sz w:val="20"/>
          <w:szCs w:val="20"/>
          <w:lang w:val="en-US" w:eastAsia="zh-CN"/>
        </w:rPr>
        <w:t>revised</w:t>
      </w:r>
      <w:r>
        <w:rPr>
          <w:rFonts w:ascii="Arial" w:hAnsi="Arial" w:eastAsia="宋体" w:cs="Arial"/>
          <w:kern w:val="0"/>
          <w:sz w:val="20"/>
          <w:szCs w:val="20"/>
          <w:lang w:val="en-GB" w:eastAsia="en-US"/>
        </w:rPr>
        <w:t xml:space="preserve"> </w:t>
      </w:r>
      <w:r>
        <w:rPr>
          <w:rFonts w:hint="eastAsia" w:ascii="Arial" w:hAnsi="Arial" w:eastAsia="宋体" w:cs="Arial"/>
          <w:kern w:val="0"/>
          <w:sz w:val="20"/>
          <w:szCs w:val="20"/>
          <w:lang w:val="en-US" w:eastAsia="zh-CN"/>
        </w:rPr>
        <w:t>W</w:t>
      </w:r>
      <w:r>
        <w:rPr>
          <w:rFonts w:ascii="Arial" w:hAnsi="Arial" w:eastAsia="宋体" w:cs="Arial"/>
          <w:kern w:val="0"/>
          <w:sz w:val="20"/>
          <w:szCs w:val="20"/>
          <w:lang w:val="en-GB" w:eastAsia="en-US"/>
        </w:rPr>
        <w:t>ID</w:t>
      </w:r>
      <w:r>
        <w:rPr>
          <w:rFonts w:hint="eastAsia" w:ascii="Arial" w:hAnsi="Arial" w:eastAsia="宋体" w:cs="Arial"/>
          <w:kern w:val="0"/>
          <w:sz w:val="20"/>
          <w:szCs w:val="20"/>
          <w:lang w:val="en-US" w:eastAsia="zh-CN"/>
        </w:rPr>
        <w:t xml:space="preserve"> on</w:t>
      </w:r>
      <w:r>
        <w:rPr>
          <w:rFonts w:ascii="Arial" w:hAnsi="Arial" w:eastAsia="宋体" w:cs="Arial"/>
          <w:kern w:val="0"/>
          <w:sz w:val="20"/>
          <w:szCs w:val="20"/>
          <w:lang w:val="en-GB" w:eastAsia="en-US"/>
        </w:rPr>
        <w:t xml:space="preserve"> </w:t>
      </w:r>
      <w:r>
        <w:rPr>
          <w:rFonts w:hint="eastAsia" w:ascii="Arial" w:hAnsi="Arial" w:eastAsia="宋体" w:cs="Arial"/>
          <w:kern w:val="0"/>
          <w:sz w:val="20"/>
          <w:szCs w:val="20"/>
          <w:lang w:val="en-GB" w:eastAsia="en-US"/>
        </w:rPr>
        <w:t>IoT NTN enhancements</w:t>
      </w:r>
      <w:r>
        <w:rPr>
          <w:rFonts w:ascii="Arial" w:hAnsi="Arial" w:eastAsia="宋体" w:cs="Arial"/>
          <w:kern w:val="0"/>
          <w:sz w:val="20"/>
          <w:szCs w:val="20"/>
          <w:lang w:val="en-GB" w:eastAsia="en-US"/>
        </w:rPr>
        <w:t xml:space="preserve"> [1] was agreed, and one of the objectives is about </w:t>
      </w:r>
      <w:r>
        <w:rPr>
          <w:rFonts w:hint="eastAsia" w:ascii="Arial" w:hAnsi="Arial" w:eastAsia="宋体" w:cs="Arial"/>
          <w:kern w:val="0"/>
          <w:sz w:val="20"/>
          <w:szCs w:val="20"/>
          <w:lang w:val="en-US" w:eastAsia="zh-CN"/>
        </w:rPr>
        <w:t>discontinuous coverage</w:t>
      </w:r>
      <w:r>
        <w:rPr>
          <w:rFonts w:ascii="Arial" w:hAnsi="Arial" w:eastAsia="宋体" w:cs="Arial"/>
          <w:kern w:val="0"/>
          <w:sz w:val="20"/>
          <w:szCs w:val="20"/>
          <w:lang w:val="en-GB" w:eastAsia="en-US"/>
        </w:rPr>
        <w:t xml:space="preserve"> as following: </w:t>
      </w:r>
    </w:p>
    <w:tbl>
      <w:tblPr>
        <w:tblStyle w:val="6"/>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23" w:type="dxa"/>
          </w:tcPr>
          <w:p>
            <w:pPr>
              <w:keepNext w:val="0"/>
              <w:keepLines w:val="0"/>
              <w:pageBreakBefore w:val="0"/>
              <w:widowControl w:val="0"/>
              <w:kinsoku/>
              <w:wordWrap/>
              <w:overflowPunct/>
              <w:topLinePunct w:val="0"/>
              <w:autoSpaceDE/>
              <w:autoSpaceDN/>
              <w:bidi w:val="0"/>
              <w:adjustRightInd/>
              <w:snapToGrid/>
              <w:spacing w:after="160" w:line="260" w:lineRule="auto"/>
              <w:textAlignment w:val="auto"/>
              <w:rPr>
                <w:rFonts w:hint="default" w:ascii="Arial" w:hAnsi="Arial" w:cs="Arial"/>
                <w:sz w:val="20"/>
                <w:szCs w:val="21"/>
              </w:rPr>
            </w:pPr>
            <w:r>
              <w:rPr>
                <w:rFonts w:hint="default" w:ascii="Arial" w:hAnsi="Arial" w:cs="Arial"/>
                <w:sz w:val="20"/>
                <w:szCs w:val="21"/>
              </w:rPr>
              <w:t>4.1.3</w:t>
            </w:r>
            <w:r>
              <w:rPr>
                <w:rFonts w:hint="default" w:ascii="Arial" w:hAnsi="Arial" w:cs="Arial"/>
                <w:sz w:val="20"/>
                <w:szCs w:val="21"/>
              </w:rPr>
              <w:tab/>
            </w:r>
            <w:r>
              <w:rPr>
                <w:rFonts w:hint="default" w:ascii="Arial" w:hAnsi="Arial" w:cs="Arial"/>
                <w:sz w:val="20"/>
                <w:szCs w:val="21"/>
              </w:rPr>
              <w:t>Further enhancement to discontinuous coverage</w:t>
            </w:r>
          </w:p>
          <w:p>
            <w:pPr>
              <w:pStyle w:val="13"/>
              <w:keepNext w:val="0"/>
              <w:keepLines w:val="0"/>
              <w:pageBreakBefore w:val="0"/>
              <w:widowControl w:val="0"/>
              <w:kinsoku/>
              <w:wordWrap/>
              <w:overflowPunct/>
              <w:topLinePunct w:val="0"/>
              <w:autoSpaceDE/>
              <w:autoSpaceDN/>
              <w:bidi w:val="0"/>
              <w:adjustRightInd/>
              <w:snapToGrid/>
              <w:spacing w:after="160" w:line="260" w:lineRule="auto"/>
              <w:textAlignment w:val="auto"/>
              <w:rPr>
                <w:rFonts w:ascii="Times New Roman" w:hAnsi="Times New Roman" w:eastAsia="宋体" w:cs="Times New Roman"/>
                <w:kern w:val="0"/>
                <w:sz w:val="20"/>
                <w:szCs w:val="20"/>
                <w:lang w:val="en-GB" w:eastAsia="en-GB"/>
              </w:rPr>
            </w:pPr>
            <w:r>
              <w:rPr>
                <w:rFonts w:hint="default" w:ascii="Arial" w:hAnsi="Arial" w:cs="Arial"/>
                <w:sz w:val="20"/>
                <w:szCs w:val="21"/>
              </w:rPr>
              <w:t>-</w:t>
            </w:r>
            <w:r>
              <w:rPr>
                <w:rFonts w:hint="default" w:ascii="Arial" w:hAnsi="Arial" w:cs="Arial"/>
                <w:sz w:val="20"/>
                <w:szCs w:val="21"/>
              </w:rPr>
              <w:tab/>
            </w:r>
            <w:r>
              <w:rPr>
                <w:rFonts w:hint="default" w:ascii="Arial" w:hAnsi="Arial" w:cs="Arial"/>
                <w:sz w:val="20"/>
                <w:szCs w:val="21"/>
              </w:rPr>
              <w:t>Study and specify, if needed, mobility management enhancements and power saving enhancements for discontinuous coverage, taking into account the conclusions from the SA2 study FS_5GSAT_Ph2.  [RAN2, RAN3].</w:t>
            </w:r>
          </w:p>
        </w:tc>
      </w:tr>
    </w:tbl>
    <w:p>
      <w:pPr>
        <w:keepNext w:val="0"/>
        <w:keepLines w:val="0"/>
        <w:pageBreakBefore w:val="0"/>
        <w:widowControl/>
        <w:kinsoku/>
        <w:wordWrap/>
        <w:overflowPunct/>
        <w:topLinePunct w:val="0"/>
        <w:autoSpaceDE/>
        <w:autoSpaceDN/>
        <w:bidi w:val="0"/>
        <w:adjustRightInd/>
        <w:snapToGrid/>
        <w:spacing w:before="0" w:beforeLines="50" w:after="180"/>
        <w:textAlignment w:val="auto"/>
        <w:rPr>
          <w:rFonts w:ascii="Arial" w:hAnsi="Arial" w:eastAsia="宋体" w:cs="Arial"/>
          <w:kern w:val="0"/>
          <w:sz w:val="20"/>
          <w:szCs w:val="20"/>
          <w:lang w:val="en-GB"/>
        </w:rPr>
      </w:pPr>
      <w:r>
        <w:rPr>
          <w:rFonts w:ascii="Arial" w:hAnsi="Arial" w:eastAsia="宋体" w:cs="Arial"/>
          <w:kern w:val="0"/>
          <w:sz w:val="20"/>
          <w:szCs w:val="20"/>
          <w:lang w:val="en-GB"/>
        </w:rPr>
        <w:t xml:space="preserve">This contribution will discuss the potential </w:t>
      </w:r>
      <w:r>
        <w:rPr>
          <w:rFonts w:hint="eastAsia" w:ascii="Arial" w:hAnsi="Arial" w:eastAsia="宋体" w:cs="Arial"/>
          <w:kern w:val="0"/>
          <w:sz w:val="20"/>
          <w:szCs w:val="20"/>
          <w:lang w:val="en-US" w:eastAsia="zh-CN"/>
        </w:rPr>
        <w:t>impacts</w:t>
      </w:r>
      <w:r>
        <w:rPr>
          <w:rFonts w:ascii="Arial" w:hAnsi="Arial" w:eastAsia="宋体" w:cs="Arial"/>
          <w:kern w:val="0"/>
          <w:sz w:val="20"/>
          <w:szCs w:val="20"/>
          <w:lang w:val="en-GB"/>
        </w:rPr>
        <w:t xml:space="preserve"> </w:t>
      </w:r>
      <w:r>
        <w:rPr>
          <w:rFonts w:hint="eastAsia" w:ascii="Arial" w:hAnsi="Arial" w:eastAsia="宋体" w:cs="Arial"/>
          <w:kern w:val="0"/>
          <w:sz w:val="20"/>
          <w:szCs w:val="20"/>
          <w:lang w:val="en-US" w:eastAsia="zh-CN"/>
        </w:rPr>
        <w:t>and enhancements on discontinuous coverage</w:t>
      </w:r>
      <w:r>
        <w:rPr>
          <w:rFonts w:ascii="Arial" w:hAnsi="Arial" w:eastAsia="宋体" w:cs="Arial"/>
          <w:kern w:val="0"/>
          <w:sz w:val="20"/>
          <w:szCs w:val="20"/>
          <w:lang w:val="en-GB"/>
        </w:rPr>
        <w:t>.</w:t>
      </w:r>
    </w:p>
    <w:p>
      <w:pPr>
        <w:keepNext/>
        <w:keepLines/>
        <w:widowControl/>
        <w:numPr>
          <w:ilvl w:val="0"/>
          <w:numId w:val="1"/>
        </w:numPr>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Discussion</w:t>
      </w:r>
    </w:p>
    <w:p>
      <w:pPr>
        <w:widowControl/>
        <w:spacing w:after="180"/>
        <w:rPr>
          <w:rFonts w:hint="eastAsia" w:ascii="Arial" w:hAnsi="Arial" w:eastAsia="宋体" w:cs="Arial"/>
          <w:kern w:val="0"/>
          <w:sz w:val="20"/>
          <w:szCs w:val="20"/>
          <w:lang w:val="en-US" w:eastAsia="zh-CN"/>
        </w:rPr>
      </w:pPr>
      <w:r>
        <w:rPr>
          <w:rFonts w:hint="eastAsia" w:ascii="Arial" w:hAnsi="Arial" w:eastAsia="宋体" w:cs="Arial"/>
          <w:kern w:val="0"/>
          <w:sz w:val="20"/>
          <w:szCs w:val="20"/>
          <w:lang w:val="en-US" w:eastAsia="zh-CN"/>
        </w:rPr>
        <w:t xml:space="preserve">In Rel-17, RAN2 has agreed that the UE can determine when it is out of coverage using available satellite assistance information (e.g. ephemeris parameters and coverage parameters in SIB32). When the UE is out of coverage, the UE is not required to perform any cell search and may deactivate its AS functions to optimize the power consumption. The remaining UE behaviour is left to UE implementation. </w:t>
      </w:r>
    </w:p>
    <w:p>
      <w:pPr>
        <w:widowControl/>
        <w:spacing w:after="180"/>
        <w:rPr>
          <w:rFonts w:hint="eastAsia" w:ascii="Arial" w:hAnsi="Arial" w:eastAsia="宋体" w:cs="Arial"/>
          <w:kern w:val="0"/>
          <w:sz w:val="20"/>
          <w:szCs w:val="20"/>
          <w:lang w:val="en-US" w:eastAsia="zh-CN"/>
        </w:rPr>
      </w:pPr>
      <w:r>
        <w:rPr>
          <w:rFonts w:hint="eastAsia" w:ascii="Arial" w:hAnsi="Arial" w:eastAsia="宋体" w:cs="Arial"/>
          <w:kern w:val="0"/>
          <w:sz w:val="20"/>
          <w:szCs w:val="20"/>
          <w:lang w:val="en-US" w:eastAsia="zh-CN"/>
        </w:rPr>
        <w:t>In Rel-17, SA2 has agreed that only DRX is supported in the discontinuous coverage, the eDRX and PSM are not supported.</w:t>
      </w:r>
    </w:p>
    <w:p>
      <w:pPr>
        <w:keepNext/>
        <w:keepLines/>
        <w:widowControl/>
        <w:spacing w:before="180" w:after="180"/>
        <w:ind w:left="1134" w:hanging="1134"/>
        <w:jc w:val="left"/>
        <w:outlineLvl w:val="1"/>
        <w:rPr>
          <w:rFonts w:hint="default" w:ascii="Arial" w:hAnsi="Arial" w:eastAsia="宋体" w:cs="Arial"/>
          <w:kern w:val="0"/>
          <w:sz w:val="32"/>
          <w:szCs w:val="20"/>
          <w:lang w:val="en-US" w:eastAsia="zh-CN"/>
        </w:rPr>
      </w:pPr>
      <w:r>
        <w:rPr>
          <w:rFonts w:ascii="Arial" w:hAnsi="Arial" w:eastAsia="宋体" w:cs="Arial"/>
          <w:kern w:val="0"/>
          <w:sz w:val="32"/>
          <w:szCs w:val="20"/>
          <w:lang w:val="en-GB"/>
        </w:rPr>
        <w:t>2.1</w:t>
      </w:r>
      <w:r>
        <w:rPr>
          <w:rFonts w:ascii="Arial" w:hAnsi="Arial" w:eastAsia="宋体" w:cs="Arial"/>
          <w:kern w:val="0"/>
          <w:sz w:val="32"/>
          <w:szCs w:val="20"/>
          <w:lang w:val="en-GB"/>
        </w:rPr>
        <w:tab/>
      </w:r>
      <w:r>
        <w:rPr>
          <w:rFonts w:ascii="Arial" w:hAnsi="Arial" w:eastAsia="宋体" w:cs="Arial"/>
          <w:kern w:val="0"/>
          <w:sz w:val="32"/>
          <w:szCs w:val="20"/>
          <w:lang w:val="en-GB"/>
        </w:rPr>
        <w:t xml:space="preserve">Discussion on </w:t>
      </w:r>
      <w:r>
        <w:rPr>
          <w:rFonts w:hint="eastAsia" w:ascii="Arial" w:hAnsi="Arial" w:eastAsia="宋体" w:cs="Arial"/>
          <w:kern w:val="0"/>
          <w:sz w:val="32"/>
          <w:szCs w:val="20"/>
          <w:lang w:val="en-US" w:eastAsia="zh-CN"/>
        </w:rPr>
        <w:t>the impacts of SA2 solution</w:t>
      </w:r>
    </w:p>
    <w:p>
      <w:pPr>
        <w:widowControl/>
        <w:spacing w:after="180"/>
        <w:rPr>
          <w:rFonts w:ascii="Arial" w:hAnsi="Arial" w:eastAsia="宋体" w:cs="Arial"/>
          <w:kern w:val="0"/>
          <w:sz w:val="20"/>
          <w:szCs w:val="20"/>
          <w:lang w:val="en-GB"/>
        </w:rPr>
      </w:pPr>
      <w:r>
        <w:rPr>
          <w:rFonts w:hint="eastAsia" w:ascii="Arial" w:hAnsi="Arial" w:eastAsia="宋体" w:cs="Arial"/>
          <w:kern w:val="0"/>
          <w:sz w:val="20"/>
          <w:szCs w:val="20"/>
          <w:lang w:val="en-US" w:eastAsia="zh-CN"/>
        </w:rPr>
        <w:t>In Rel-18, SA2 has studied on mobility management enhancement with discontinuous satellite coverage (Key Issue#1) and power saving enhancement for UE in discontinuous coverage (Key Issue#2), and has captured potential solutions in TR 23.700-28 [2]</w:t>
      </w:r>
      <w:r>
        <w:rPr>
          <w:rFonts w:ascii="Arial" w:hAnsi="Arial" w:eastAsia="宋体" w:cs="Arial"/>
          <w:kern w:val="0"/>
          <w:sz w:val="20"/>
          <w:szCs w:val="20"/>
          <w:lang w:val="en-GB"/>
        </w:rPr>
        <w:t xml:space="preserve">. </w:t>
      </w:r>
    </w:p>
    <w:p>
      <w:pPr>
        <w:widowControl/>
        <w:spacing w:after="180"/>
        <w:rPr>
          <w:rFonts w:hint="default" w:ascii="Arial" w:hAnsi="Arial" w:eastAsia="宋体" w:cs="Arial"/>
          <w:kern w:val="0"/>
          <w:sz w:val="20"/>
          <w:szCs w:val="20"/>
          <w:lang w:val="en-US" w:eastAsia="zh-CN"/>
        </w:rPr>
      </w:pPr>
      <w:r>
        <w:rPr>
          <w:rFonts w:hint="eastAsia" w:ascii="Arial" w:hAnsi="Arial" w:eastAsia="宋体" w:cs="Arial"/>
          <w:kern w:val="0"/>
          <w:sz w:val="20"/>
          <w:szCs w:val="20"/>
          <w:lang w:val="en-US" w:eastAsia="zh-CN"/>
        </w:rPr>
        <w:t>According to conclusion of TR 23.700-28, SA2 supports PSM/MICO/eDRX in R18 IoT-NTN. Both network centric and UE centric procedures are used to determine and coordinate the UE unreachability period and power saving parameters via NAS signaling. In general, there is no RAN2 impacts on PSM/MICO/eDRX based on SA2 solution.</w:t>
      </w:r>
    </w:p>
    <w:p>
      <w:pPr>
        <w:widowControl/>
        <w:spacing w:after="180"/>
        <w:rPr>
          <w:rFonts w:hint="default"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Observation 1: There is no RAN2 impacts based on SA2 study to support PSM/MICO/eDRX in R18 IoT-NTN.</w:t>
      </w:r>
    </w:p>
    <w:p>
      <w:pPr>
        <w:widowControl/>
        <w:spacing w:after="180"/>
        <w:rPr>
          <w:rFonts w:hint="default" w:ascii="Arial" w:hAnsi="Arial" w:eastAsia="宋体" w:cs="Arial"/>
          <w:kern w:val="0"/>
          <w:sz w:val="20"/>
          <w:szCs w:val="20"/>
          <w:lang w:val="en-US" w:eastAsia="zh-CN"/>
        </w:rPr>
      </w:pPr>
      <w:r>
        <w:rPr>
          <w:rFonts w:hint="eastAsia" w:ascii="Arial" w:hAnsi="Arial" w:eastAsia="宋体" w:cs="Arial"/>
          <w:kern w:val="0"/>
          <w:sz w:val="20"/>
          <w:szCs w:val="20"/>
          <w:lang w:val="en-US" w:eastAsia="zh-CN"/>
        </w:rPr>
        <w:t>As specified in TS 36.331 [3], SIB32 broadcasts the satellite assistance information for discontinuous coverage, and up to 4 satellites are involved due to the limitation of SIB size. In TR 23.700-28, SA2 pointed that the limitation to 4 satellites could limit coverage information to only a short period in the future (e.g. 2 hours). And SA2 expects that the number of satellites RAN broadcasts ephemeris data for will be increased from 4 in Rel-17 to 8 in Rel-18.</w:t>
      </w:r>
    </w:p>
    <w:p>
      <w:pPr>
        <w:widowControl/>
        <w:spacing w:after="180"/>
        <w:rPr>
          <w:rFonts w:hint="eastAsia" w:ascii="Arial" w:hAnsi="Arial" w:eastAsia="宋体" w:cs="Arial"/>
          <w:kern w:val="0"/>
          <w:sz w:val="20"/>
          <w:szCs w:val="20"/>
          <w:lang w:val="en-US" w:eastAsia="zh-CN"/>
        </w:rPr>
      </w:pPr>
      <w:r>
        <w:rPr>
          <w:rFonts w:hint="eastAsia" w:ascii="Arial" w:hAnsi="Arial" w:eastAsia="宋体" w:cs="Arial"/>
          <w:kern w:val="0"/>
          <w:sz w:val="20"/>
          <w:szCs w:val="20"/>
          <w:lang w:val="en-US" w:eastAsia="zh-CN"/>
        </w:rPr>
        <w:t>During Rel-17 discussion, some companies proposed to support more satellite assistance information, such as by dedicated signaling, SIB segmentation, multiple SIBs, etc. We think the potential solutions can be considered in Rel-18 to carry more satellite assistance information for better support discontinuous coverage.</w:t>
      </w:r>
    </w:p>
    <w:p>
      <w:pPr>
        <w:rPr>
          <w:rFonts w:hint="eastAsia"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Proposal 1: RAN2 to discuss the potential solutions to transfer more satellite assistance information, such as dedicated signaling, SIB segmentation, multiple SIBs, etc.</w:t>
      </w:r>
      <w:bookmarkStart w:id="0" w:name="_GoBack"/>
      <w:bookmarkEnd w:id="0"/>
    </w:p>
    <w:p>
      <w:pPr>
        <w:widowControl/>
        <w:spacing w:after="180"/>
        <w:rPr>
          <w:rFonts w:hint="default" w:ascii="Arial" w:hAnsi="Arial" w:eastAsia="宋体" w:cs="Arial"/>
          <w:kern w:val="0"/>
          <w:sz w:val="20"/>
          <w:szCs w:val="20"/>
          <w:lang w:val="en-US" w:eastAsia="zh-CN"/>
        </w:rPr>
      </w:pPr>
      <w:r>
        <w:rPr>
          <w:rFonts w:hint="eastAsia" w:ascii="Arial" w:hAnsi="Arial" w:eastAsia="宋体" w:cs="Arial"/>
          <w:kern w:val="0"/>
          <w:sz w:val="20"/>
          <w:szCs w:val="20"/>
          <w:lang w:val="en-US" w:eastAsia="zh-CN"/>
        </w:rPr>
        <w:t xml:space="preserve"> </w:t>
      </w:r>
    </w:p>
    <w:p>
      <w:pPr>
        <w:keepNext/>
        <w:keepLines/>
        <w:widowControl/>
        <w:spacing w:before="180" w:after="180"/>
        <w:ind w:left="1134" w:hanging="1134"/>
        <w:jc w:val="left"/>
        <w:outlineLvl w:val="1"/>
        <w:rPr>
          <w:rFonts w:hint="default" w:ascii="Arial" w:hAnsi="Arial" w:eastAsia="宋体" w:cs="Arial"/>
          <w:kern w:val="0"/>
          <w:sz w:val="32"/>
          <w:szCs w:val="20"/>
          <w:lang w:val="en-US" w:eastAsia="zh-CN"/>
        </w:rPr>
      </w:pPr>
      <w:r>
        <w:rPr>
          <w:rFonts w:ascii="Arial" w:hAnsi="Arial" w:eastAsia="宋体" w:cs="Arial"/>
          <w:kern w:val="0"/>
          <w:sz w:val="32"/>
          <w:szCs w:val="20"/>
          <w:lang w:val="en-GB" w:eastAsia="en-US"/>
        </w:rPr>
        <w:t>2.2</w:t>
      </w:r>
      <w:r>
        <w:rPr>
          <w:rFonts w:ascii="Arial" w:hAnsi="Arial" w:eastAsia="宋体" w:cs="Arial"/>
          <w:kern w:val="0"/>
          <w:sz w:val="32"/>
          <w:szCs w:val="20"/>
          <w:lang w:val="en-GB" w:eastAsia="en-US"/>
        </w:rPr>
        <w:tab/>
      </w:r>
      <w:r>
        <w:rPr>
          <w:rFonts w:hint="eastAsia" w:ascii="Arial" w:hAnsi="Arial" w:eastAsia="宋体" w:cs="Arial"/>
          <w:kern w:val="0"/>
          <w:sz w:val="32"/>
          <w:szCs w:val="20"/>
          <w:lang w:val="en-US" w:eastAsia="zh-CN"/>
        </w:rPr>
        <w:t>Discussion</w:t>
      </w:r>
      <w:r>
        <w:rPr>
          <w:rFonts w:ascii="Arial" w:hAnsi="Arial" w:eastAsia="宋体" w:cs="Arial"/>
          <w:kern w:val="0"/>
          <w:sz w:val="32"/>
          <w:szCs w:val="20"/>
          <w:lang w:val="en-GB" w:eastAsia="en-US"/>
        </w:rPr>
        <w:t xml:space="preserve"> on </w:t>
      </w:r>
      <w:r>
        <w:rPr>
          <w:rFonts w:hint="eastAsia" w:ascii="Arial" w:hAnsi="Arial" w:eastAsia="宋体" w:cs="Arial"/>
          <w:kern w:val="0"/>
          <w:sz w:val="32"/>
          <w:szCs w:val="20"/>
          <w:lang w:val="en-US" w:eastAsia="zh-CN"/>
        </w:rPr>
        <w:t xml:space="preserve">enhancement for connected mode </w:t>
      </w:r>
    </w:p>
    <w:p>
      <w:pPr>
        <w:spacing w:after="160" w:line="259" w:lineRule="auto"/>
        <w:rPr>
          <w:rFonts w:hint="default" w:ascii="Arial" w:hAnsi="Arial" w:eastAsia="宋体" w:cs="Arial"/>
          <w:kern w:val="0"/>
          <w:sz w:val="20"/>
          <w:szCs w:val="20"/>
          <w:lang w:val="en-US" w:eastAsia="zh-CN"/>
        </w:rPr>
      </w:pPr>
      <w:r>
        <w:rPr>
          <w:rFonts w:hint="eastAsia" w:ascii="Arial" w:hAnsi="Arial" w:eastAsia="宋体" w:cs="Arial"/>
          <w:kern w:val="0"/>
          <w:sz w:val="20"/>
          <w:szCs w:val="20"/>
          <w:lang w:val="en-US" w:eastAsia="zh-CN"/>
        </w:rPr>
        <w:t>In Rel-17 discussion, some companies have proposed the potential enhancements for connected mode. We think that the enhancements on RRC release and reestablishment procedure may be considered to support the discontinuous coverage in IoT-NTN.</w:t>
      </w:r>
    </w:p>
    <w:p>
      <w:pPr>
        <w:spacing w:after="160" w:line="259" w:lineRule="auto"/>
        <w:rPr>
          <w:rFonts w:hint="eastAsia" w:ascii="Arial" w:hAnsi="Arial" w:eastAsia="宋体" w:cs="Arial"/>
          <w:kern w:val="0"/>
          <w:sz w:val="20"/>
          <w:szCs w:val="20"/>
          <w:lang w:val="en-US" w:eastAsia="zh-CN"/>
        </w:rPr>
      </w:pPr>
      <w:r>
        <w:rPr>
          <w:rFonts w:hint="eastAsia" w:ascii="Arial" w:hAnsi="Arial" w:eastAsia="宋体" w:cs="Arial"/>
          <w:kern w:val="0"/>
          <w:sz w:val="20"/>
          <w:szCs w:val="20"/>
          <w:lang w:val="en-US" w:eastAsia="zh-CN"/>
        </w:rPr>
        <w:t xml:space="preserve">For enhancements on RRC release procedure: </w:t>
      </w:r>
    </w:p>
    <w:p>
      <w:pPr>
        <w:spacing w:after="160" w:line="259" w:lineRule="auto"/>
        <w:rPr>
          <w:rFonts w:hint="eastAsia" w:ascii="Arial" w:hAnsi="Arial" w:eastAsia="宋体" w:cs="Arial"/>
          <w:kern w:val="0"/>
          <w:sz w:val="20"/>
          <w:szCs w:val="20"/>
          <w:lang w:val="en-US" w:eastAsia="zh-CN"/>
        </w:rPr>
      </w:pPr>
      <w:r>
        <w:rPr>
          <w:rFonts w:hint="eastAsia" w:ascii="Arial" w:hAnsi="Arial" w:eastAsia="宋体" w:cs="Arial"/>
          <w:kern w:val="0"/>
          <w:sz w:val="20"/>
          <w:szCs w:val="20"/>
          <w:lang w:val="en-US" w:eastAsia="zh-CN"/>
        </w:rPr>
        <w:t>RAN can release the UE before it is out of coverage based on the prediction of discontinuous coverage or UE request. In addition, some assistance information may be considered to provide to the UE, such as the new cell information or the arrival time of the next satellite. The UE can quickly recovery after returning the satellite coverage based on the assistance information.</w:t>
      </w:r>
    </w:p>
    <w:p>
      <w:pPr>
        <w:spacing w:after="160" w:line="259" w:lineRule="auto"/>
        <w:rPr>
          <w:rFonts w:hint="default"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Proposal 2: RRC release procedure can be enhanced to support the discontinuous coverage, for example, RAN can release the UE before discontinuous coverage and provide the new cell information to the UE for quick recovery.</w:t>
      </w:r>
    </w:p>
    <w:p>
      <w:pPr>
        <w:spacing w:after="160" w:line="259" w:lineRule="auto"/>
        <w:rPr>
          <w:rFonts w:hint="eastAsia" w:ascii="Arial" w:hAnsi="Arial" w:eastAsia="宋体" w:cs="Arial"/>
          <w:kern w:val="0"/>
          <w:sz w:val="20"/>
          <w:szCs w:val="20"/>
          <w:lang w:val="en-US" w:eastAsia="zh-CN"/>
        </w:rPr>
      </w:pPr>
      <w:r>
        <w:rPr>
          <w:rFonts w:hint="eastAsia" w:ascii="Arial" w:hAnsi="Arial" w:eastAsia="宋体" w:cs="Arial"/>
          <w:kern w:val="0"/>
          <w:sz w:val="20"/>
          <w:szCs w:val="20"/>
          <w:lang w:val="en-US" w:eastAsia="zh-CN"/>
        </w:rPr>
        <w:t xml:space="preserve">For enhancements on RRC reestablishment procedure: </w:t>
      </w:r>
    </w:p>
    <w:p>
      <w:pPr>
        <w:spacing w:after="160" w:line="259" w:lineRule="auto"/>
        <w:rPr>
          <w:rFonts w:hint="default" w:ascii="Arial" w:hAnsi="Arial" w:eastAsia="宋体" w:cs="Arial"/>
          <w:kern w:val="0"/>
          <w:sz w:val="20"/>
          <w:szCs w:val="20"/>
          <w:lang w:val="en-US" w:eastAsia="zh-CN"/>
        </w:rPr>
      </w:pPr>
      <w:r>
        <w:rPr>
          <w:rFonts w:hint="eastAsia" w:ascii="Arial" w:hAnsi="Arial" w:eastAsia="宋体" w:cs="Arial"/>
          <w:kern w:val="0"/>
          <w:sz w:val="20"/>
          <w:szCs w:val="20"/>
          <w:lang w:val="en-US" w:eastAsia="zh-CN"/>
        </w:rPr>
        <w:t xml:space="preserve">If the UE detects RLF but it is going into discontinuous coverage, the UE can skip the cell selection, enter into idle mode directly and perform the actions in discontinuous coverage. After discontinuous coverage, the UE can trigger the RRC reestablishment procedure. </w:t>
      </w:r>
    </w:p>
    <w:p>
      <w:pPr>
        <w:spacing w:after="160" w:line="259" w:lineRule="auto"/>
        <w:rPr>
          <w:rFonts w:ascii="Arial" w:hAnsi="Arial" w:eastAsia="宋体" w:cs="Arial"/>
          <w:b/>
          <w:bCs/>
          <w:kern w:val="0"/>
          <w:sz w:val="20"/>
          <w:szCs w:val="20"/>
          <w:lang w:val="en-GB"/>
        </w:rPr>
      </w:pPr>
      <w:r>
        <w:rPr>
          <w:rFonts w:hint="eastAsia" w:ascii="Arial" w:hAnsi="Arial" w:eastAsia="宋体" w:cs="Arial"/>
          <w:b/>
          <w:bCs/>
          <w:kern w:val="0"/>
          <w:sz w:val="20"/>
          <w:szCs w:val="20"/>
          <w:lang w:val="en-GB"/>
        </w:rPr>
        <w:t>P</w:t>
      </w:r>
      <w:r>
        <w:rPr>
          <w:rFonts w:ascii="Arial" w:hAnsi="Arial" w:eastAsia="宋体" w:cs="Arial"/>
          <w:b/>
          <w:bCs/>
          <w:kern w:val="0"/>
          <w:sz w:val="20"/>
          <w:szCs w:val="20"/>
          <w:lang w:val="en-GB"/>
        </w:rPr>
        <w:t xml:space="preserve">roposal </w:t>
      </w:r>
      <w:r>
        <w:rPr>
          <w:rFonts w:hint="eastAsia" w:ascii="Arial" w:hAnsi="Arial" w:eastAsia="宋体" w:cs="Arial"/>
          <w:b/>
          <w:bCs/>
          <w:kern w:val="0"/>
          <w:sz w:val="20"/>
          <w:szCs w:val="20"/>
          <w:lang w:val="en-US" w:eastAsia="zh-CN"/>
        </w:rPr>
        <w:t>3</w:t>
      </w:r>
      <w:r>
        <w:rPr>
          <w:rFonts w:ascii="Arial" w:hAnsi="Arial" w:eastAsia="宋体" w:cs="Arial"/>
          <w:b/>
          <w:bCs/>
          <w:kern w:val="0"/>
          <w:sz w:val="20"/>
          <w:szCs w:val="20"/>
          <w:lang w:val="en-GB"/>
        </w:rPr>
        <w:t xml:space="preserve">: </w:t>
      </w:r>
      <w:r>
        <w:rPr>
          <w:rFonts w:hint="eastAsia" w:ascii="Arial" w:hAnsi="Arial" w:eastAsia="宋体" w:cs="Arial"/>
          <w:b/>
          <w:bCs/>
          <w:kern w:val="0"/>
          <w:sz w:val="20"/>
          <w:szCs w:val="20"/>
          <w:lang w:val="en-US" w:eastAsia="zh-CN"/>
        </w:rPr>
        <w:t>RRC reestablishment procedure can be enhanced to support the discontinuous coverage, for example, the UE can skip the cell selection and enter into idle mode directly to save power consumption</w:t>
      </w:r>
      <w:r>
        <w:rPr>
          <w:rFonts w:ascii="Arial" w:hAnsi="Arial" w:eastAsia="宋体" w:cs="Arial"/>
          <w:b/>
          <w:bCs/>
          <w:kern w:val="0"/>
          <w:sz w:val="20"/>
          <w:szCs w:val="20"/>
          <w:lang w:val="en-GB"/>
        </w:rPr>
        <w:t>.</w:t>
      </w:r>
    </w:p>
    <w:p>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3</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Conclusion</w:t>
      </w:r>
    </w:p>
    <w:p>
      <w:pPr>
        <w:widowControl/>
        <w:spacing w:after="180"/>
        <w:rPr>
          <w:rFonts w:ascii="Arial" w:hAnsi="Arial" w:eastAsia="宋体" w:cs="Arial"/>
          <w:kern w:val="0"/>
          <w:sz w:val="20"/>
          <w:szCs w:val="20"/>
          <w:lang w:val="en-GB" w:eastAsia="en-US"/>
        </w:rPr>
      </w:pPr>
      <w:r>
        <w:rPr>
          <w:rFonts w:ascii="Arial" w:hAnsi="Arial" w:eastAsia="宋体" w:cs="Arial"/>
          <w:kern w:val="0"/>
          <w:sz w:val="20"/>
          <w:szCs w:val="20"/>
          <w:lang w:val="en-GB" w:eastAsia="en-US"/>
        </w:rPr>
        <w:t xml:space="preserve">Here are the proposals for </w:t>
      </w:r>
      <w:r>
        <w:rPr>
          <w:rFonts w:hint="eastAsia" w:ascii="Arial" w:hAnsi="Arial" w:eastAsia="宋体" w:cs="Arial"/>
          <w:kern w:val="0"/>
          <w:sz w:val="20"/>
          <w:szCs w:val="20"/>
          <w:lang w:val="en-GB" w:eastAsia="en-US"/>
        </w:rPr>
        <w:t>discontinuous coverage for IoT-NTN</w:t>
      </w:r>
      <w:r>
        <w:rPr>
          <w:rFonts w:ascii="Arial" w:hAnsi="Arial" w:eastAsia="宋体" w:cs="Arial"/>
          <w:kern w:val="0"/>
          <w:sz w:val="20"/>
          <w:szCs w:val="20"/>
          <w:lang w:val="en-GB" w:eastAsia="en-US"/>
        </w:rPr>
        <w:t>.</w:t>
      </w:r>
    </w:p>
    <w:p>
      <w:pPr>
        <w:widowControl/>
        <w:spacing w:after="180"/>
        <w:rPr>
          <w:rFonts w:hint="eastAsia"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Observation 1: There is no RAN2 impacts based on SA2 study to support PSM/MICO/eDRX in R18 IoT-NTN.</w:t>
      </w:r>
    </w:p>
    <w:p>
      <w:pPr>
        <w:widowControl/>
        <w:spacing w:after="180"/>
        <w:rPr>
          <w:rFonts w:hint="eastAsia"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Proposal 1: RAN2 to discuss the potential solutions to transfer more satellite assistance information, such as dedicated signaling, SIB segmentation, multiple SIBs, etc.</w:t>
      </w:r>
    </w:p>
    <w:p>
      <w:pPr>
        <w:spacing w:after="160" w:line="259" w:lineRule="auto"/>
        <w:rPr>
          <w:rFonts w:hint="default"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Proposal 2: RRC release procedure can be enhanced to support the discontinuous coverage, for example, RAN can release the UE before discontinuous coverage and provide the new cell information to the UE for quick recovery.</w:t>
      </w:r>
    </w:p>
    <w:p>
      <w:pPr>
        <w:spacing w:after="160" w:line="259" w:lineRule="auto"/>
        <w:rPr>
          <w:rFonts w:ascii="Arial" w:hAnsi="Arial" w:eastAsia="宋体" w:cs="Arial"/>
          <w:b/>
          <w:bCs/>
          <w:kern w:val="0"/>
          <w:sz w:val="20"/>
          <w:szCs w:val="20"/>
          <w:lang w:val="en-GB"/>
        </w:rPr>
      </w:pPr>
      <w:r>
        <w:rPr>
          <w:rFonts w:hint="eastAsia" w:ascii="Arial" w:hAnsi="Arial" w:eastAsia="宋体" w:cs="Arial"/>
          <w:b/>
          <w:bCs/>
          <w:kern w:val="0"/>
          <w:sz w:val="20"/>
          <w:szCs w:val="20"/>
          <w:lang w:val="en-GB"/>
        </w:rPr>
        <w:t>P</w:t>
      </w:r>
      <w:r>
        <w:rPr>
          <w:rFonts w:ascii="Arial" w:hAnsi="Arial" w:eastAsia="宋体" w:cs="Arial"/>
          <w:b/>
          <w:bCs/>
          <w:kern w:val="0"/>
          <w:sz w:val="20"/>
          <w:szCs w:val="20"/>
          <w:lang w:val="en-GB"/>
        </w:rPr>
        <w:t xml:space="preserve">roposal </w:t>
      </w:r>
      <w:r>
        <w:rPr>
          <w:rFonts w:hint="eastAsia" w:ascii="Arial" w:hAnsi="Arial" w:eastAsia="宋体" w:cs="Arial"/>
          <w:b/>
          <w:bCs/>
          <w:kern w:val="0"/>
          <w:sz w:val="20"/>
          <w:szCs w:val="20"/>
          <w:lang w:val="en-US" w:eastAsia="zh-CN"/>
        </w:rPr>
        <w:t>3</w:t>
      </w:r>
      <w:r>
        <w:rPr>
          <w:rFonts w:ascii="Arial" w:hAnsi="Arial" w:eastAsia="宋体" w:cs="Arial"/>
          <w:b/>
          <w:bCs/>
          <w:kern w:val="0"/>
          <w:sz w:val="20"/>
          <w:szCs w:val="20"/>
          <w:lang w:val="en-GB"/>
        </w:rPr>
        <w:t xml:space="preserve">: </w:t>
      </w:r>
      <w:r>
        <w:rPr>
          <w:rFonts w:hint="eastAsia" w:ascii="Arial" w:hAnsi="Arial" w:eastAsia="宋体" w:cs="Arial"/>
          <w:b/>
          <w:bCs/>
          <w:kern w:val="0"/>
          <w:sz w:val="20"/>
          <w:szCs w:val="20"/>
          <w:lang w:val="en-US" w:eastAsia="zh-CN"/>
        </w:rPr>
        <w:t>RRC reestablishment procedure can be enhanced to support the discontinuous coverage, for example, the UE can skip the cell selection and enter into idle mode directly to save power consumption</w:t>
      </w:r>
      <w:r>
        <w:rPr>
          <w:rFonts w:ascii="Arial" w:hAnsi="Arial" w:eastAsia="宋体" w:cs="Arial"/>
          <w:b/>
          <w:bCs/>
          <w:kern w:val="0"/>
          <w:sz w:val="20"/>
          <w:szCs w:val="20"/>
          <w:lang w:val="en-GB"/>
        </w:rPr>
        <w:t>.</w:t>
      </w:r>
    </w:p>
    <w:p>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4</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Reference</w:t>
      </w:r>
    </w:p>
    <w:p>
      <w:pPr>
        <w:widowControl/>
        <w:numPr>
          <w:ilvl w:val="0"/>
          <w:numId w:val="2"/>
        </w:numPr>
        <w:overflowPunct w:val="0"/>
        <w:autoSpaceDE w:val="0"/>
        <w:autoSpaceDN w:val="0"/>
        <w:adjustRightInd w:val="0"/>
        <w:spacing w:after="180"/>
        <w:jc w:val="left"/>
        <w:textAlignment w:val="baseline"/>
        <w:rPr>
          <w:rFonts w:ascii="Arial" w:hAnsi="Arial" w:eastAsia="宋体" w:cs="Arial"/>
          <w:kern w:val="0"/>
          <w:sz w:val="20"/>
          <w:szCs w:val="20"/>
          <w:lang w:val="en-GB" w:eastAsia="en-US"/>
        </w:rPr>
      </w:pPr>
      <w:r>
        <w:rPr>
          <w:rFonts w:ascii="Arial" w:hAnsi="Arial" w:eastAsia="宋体" w:cs="Arial"/>
          <w:kern w:val="0"/>
          <w:sz w:val="20"/>
          <w:szCs w:val="20"/>
          <w:lang w:val="en-GB" w:eastAsia="en-US"/>
        </w:rPr>
        <w:t>RP-22</w:t>
      </w:r>
      <w:r>
        <w:rPr>
          <w:rFonts w:hint="eastAsia" w:ascii="Arial" w:hAnsi="Arial" w:eastAsia="宋体" w:cs="Arial"/>
          <w:kern w:val="0"/>
          <w:sz w:val="20"/>
          <w:szCs w:val="20"/>
          <w:lang w:val="en-US" w:eastAsia="zh-CN"/>
        </w:rPr>
        <w:t>3519</w:t>
      </w:r>
      <w:r>
        <w:rPr>
          <w:rFonts w:ascii="Arial" w:hAnsi="Arial" w:eastAsia="宋体" w:cs="Arial"/>
          <w:kern w:val="0"/>
          <w:sz w:val="20"/>
          <w:szCs w:val="20"/>
          <w:lang w:val="en-GB" w:eastAsia="en-US"/>
        </w:rPr>
        <w:t xml:space="preserve">, Revised </w:t>
      </w:r>
      <w:r>
        <w:rPr>
          <w:rFonts w:hint="eastAsia" w:ascii="Arial" w:hAnsi="Arial" w:eastAsia="宋体" w:cs="Arial"/>
          <w:kern w:val="0"/>
          <w:sz w:val="20"/>
          <w:szCs w:val="20"/>
          <w:lang w:val="en-GB" w:eastAsia="en-US"/>
        </w:rPr>
        <w:t>WID on IoT NTN enhancements</w:t>
      </w:r>
    </w:p>
    <w:p>
      <w:pPr>
        <w:widowControl/>
        <w:numPr>
          <w:ilvl w:val="0"/>
          <w:numId w:val="2"/>
        </w:numPr>
        <w:overflowPunct w:val="0"/>
        <w:autoSpaceDE w:val="0"/>
        <w:autoSpaceDN w:val="0"/>
        <w:adjustRightInd w:val="0"/>
        <w:spacing w:after="180"/>
        <w:jc w:val="left"/>
        <w:textAlignment w:val="baseline"/>
        <w:rPr>
          <w:rFonts w:hint="eastAsia" w:ascii="Arial" w:hAnsi="Arial" w:eastAsia="宋体" w:cs="Arial"/>
          <w:kern w:val="0"/>
          <w:sz w:val="20"/>
          <w:szCs w:val="20"/>
          <w:lang w:val="en-GB" w:eastAsia="zh-CN"/>
        </w:rPr>
      </w:pPr>
      <w:r>
        <w:rPr>
          <w:rFonts w:hint="eastAsia" w:ascii="Arial" w:hAnsi="Arial" w:eastAsia="宋体" w:cs="Arial"/>
          <w:kern w:val="0"/>
          <w:sz w:val="20"/>
          <w:szCs w:val="20"/>
          <w:lang w:val="en-GB" w:eastAsia="zh-CN"/>
        </w:rPr>
        <w:t xml:space="preserve">3GPP </w:t>
      </w:r>
      <w:r>
        <w:rPr>
          <w:rFonts w:hint="eastAsia" w:ascii="Arial" w:hAnsi="Arial" w:eastAsia="宋体" w:cs="Arial"/>
          <w:kern w:val="0"/>
          <w:sz w:val="20"/>
          <w:szCs w:val="20"/>
          <w:lang w:val="en-US" w:eastAsia="zh-CN"/>
        </w:rPr>
        <w:t>TR 23.700-28</w:t>
      </w:r>
      <w:r>
        <w:rPr>
          <w:rFonts w:hint="eastAsia" w:ascii="Arial" w:hAnsi="Arial" w:eastAsia="宋体" w:cs="Arial"/>
          <w:kern w:val="0"/>
          <w:sz w:val="20"/>
          <w:szCs w:val="20"/>
          <w:lang w:val="en-GB" w:eastAsia="zh-CN"/>
        </w:rPr>
        <w:t>, Study on Integration of satellite components</w:t>
      </w:r>
      <w:r>
        <w:rPr>
          <w:rFonts w:hint="eastAsia" w:ascii="Arial" w:hAnsi="Arial" w:eastAsia="宋体" w:cs="Arial"/>
          <w:kern w:val="0"/>
          <w:sz w:val="20"/>
          <w:szCs w:val="20"/>
          <w:lang w:val="en-US" w:eastAsia="zh-CN"/>
        </w:rPr>
        <w:t xml:space="preserve"> </w:t>
      </w:r>
      <w:r>
        <w:rPr>
          <w:rFonts w:hint="eastAsia" w:ascii="Arial" w:hAnsi="Arial" w:eastAsia="宋体" w:cs="Arial"/>
          <w:kern w:val="0"/>
          <w:sz w:val="20"/>
          <w:szCs w:val="20"/>
          <w:lang w:val="en-GB" w:eastAsia="zh-CN"/>
        </w:rPr>
        <w:t>in the 5G architecture;</w:t>
      </w:r>
      <w:r>
        <w:rPr>
          <w:rFonts w:hint="eastAsia" w:ascii="Arial" w:hAnsi="Arial" w:eastAsia="宋体" w:cs="Arial"/>
          <w:kern w:val="0"/>
          <w:sz w:val="20"/>
          <w:szCs w:val="20"/>
          <w:lang w:val="en-US" w:eastAsia="zh-CN"/>
        </w:rPr>
        <w:t xml:space="preserve"> Phase 2</w:t>
      </w:r>
      <w:r>
        <w:rPr>
          <w:rFonts w:hint="eastAsia" w:ascii="Arial" w:hAnsi="Arial" w:eastAsia="宋体" w:cs="Arial"/>
          <w:kern w:val="0"/>
          <w:sz w:val="20"/>
          <w:szCs w:val="20"/>
          <w:lang w:val="en-GB" w:eastAsia="zh-CN"/>
        </w:rPr>
        <w:t xml:space="preserve"> (Release 18)</w:t>
      </w:r>
    </w:p>
    <w:p>
      <w:pPr>
        <w:widowControl/>
        <w:numPr>
          <w:ilvl w:val="0"/>
          <w:numId w:val="2"/>
        </w:numPr>
        <w:overflowPunct w:val="0"/>
        <w:autoSpaceDE w:val="0"/>
        <w:autoSpaceDN w:val="0"/>
        <w:adjustRightInd w:val="0"/>
        <w:spacing w:after="180"/>
        <w:jc w:val="left"/>
        <w:textAlignment w:val="baseline"/>
        <w:rPr>
          <w:rFonts w:hint="eastAsia" w:ascii="Arial" w:hAnsi="Arial" w:eastAsia="宋体" w:cs="Arial"/>
          <w:kern w:val="0"/>
          <w:sz w:val="20"/>
          <w:szCs w:val="20"/>
          <w:lang w:val="en-GB" w:eastAsia="zh-CN"/>
        </w:rPr>
      </w:pPr>
      <w:r>
        <w:rPr>
          <w:rFonts w:hint="eastAsia" w:ascii="Arial" w:hAnsi="Arial" w:eastAsia="宋体" w:cs="Arial"/>
          <w:kern w:val="0"/>
          <w:sz w:val="20"/>
          <w:szCs w:val="20"/>
          <w:lang w:val="en-US" w:eastAsia="zh-CN"/>
        </w:rPr>
        <w:t>TS 36.331, Evolved Universal Terrestrial Radio Access (E-UTRA); Radio Resource Control (RRC); Protocol specification</w:t>
      </w:r>
    </w:p>
    <w:sectPr>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auto"/>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MS Mincho">
    <w:panose1 w:val="02020609040205080304"/>
    <w:charset w:val="80"/>
    <w:family w:val="modern"/>
    <w:pitch w:val="default"/>
    <w:sig w:usb0="A00002BF" w:usb1="68C7FCFB" w:usb2="00000010" w:usb3="00000000" w:csb0="4002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DCAA566"/>
    <w:multiLevelType w:val="singleLevel"/>
    <w:tmpl w:val="2DCAA566"/>
    <w:lvl w:ilvl="0" w:tentative="0">
      <w:start w:val="2"/>
      <w:numFmt w:val="decimal"/>
      <w:lvlText w:val="%1"/>
      <w:lvlJc w:val="left"/>
    </w:lvl>
  </w:abstractNum>
  <w:abstractNum w:abstractNumId="1">
    <w:nsid w:val="36010ADE"/>
    <w:multiLevelType w:val="multilevel"/>
    <w:tmpl w:val="36010ADE"/>
    <w:lvl w:ilvl="0" w:tentative="0">
      <w:start w:val="1"/>
      <w:numFmt w:val="decimal"/>
      <w:lvlText w:val="[%1]"/>
      <w:lvlJc w:val="left"/>
      <w:pPr>
        <w:tabs>
          <w:tab w:val="left" w:pos="360"/>
        </w:tabs>
        <w:ind w:left="357" w:hanging="357"/>
      </w:pPr>
      <w:rPr>
        <w:rFonts w:hint="default"/>
      </w:r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numRestart w:val="eachSect"/>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75A3"/>
    <w:rsid w:val="00016606"/>
    <w:rsid w:val="000172B0"/>
    <w:rsid w:val="00044F6A"/>
    <w:rsid w:val="00047DFF"/>
    <w:rsid w:val="00065420"/>
    <w:rsid w:val="00077D54"/>
    <w:rsid w:val="000A4474"/>
    <w:rsid w:val="000C2C09"/>
    <w:rsid w:val="000D5C94"/>
    <w:rsid w:val="000E0483"/>
    <w:rsid w:val="000F0EDC"/>
    <w:rsid w:val="000F3D5A"/>
    <w:rsid w:val="00196A53"/>
    <w:rsid w:val="001E2496"/>
    <w:rsid w:val="001F7978"/>
    <w:rsid w:val="002215C2"/>
    <w:rsid w:val="00225D63"/>
    <w:rsid w:val="00234354"/>
    <w:rsid w:val="002650A3"/>
    <w:rsid w:val="00291597"/>
    <w:rsid w:val="002B475C"/>
    <w:rsid w:val="002C2C8E"/>
    <w:rsid w:val="002C3E35"/>
    <w:rsid w:val="002D7AFA"/>
    <w:rsid w:val="003043A7"/>
    <w:rsid w:val="00322F59"/>
    <w:rsid w:val="00327D25"/>
    <w:rsid w:val="00380288"/>
    <w:rsid w:val="00382AE9"/>
    <w:rsid w:val="00393089"/>
    <w:rsid w:val="003C34FD"/>
    <w:rsid w:val="003C3A3A"/>
    <w:rsid w:val="003D5478"/>
    <w:rsid w:val="00423B04"/>
    <w:rsid w:val="004628AE"/>
    <w:rsid w:val="004659EF"/>
    <w:rsid w:val="00480B0B"/>
    <w:rsid w:val="004B509A"/>
    <w:rsid w:val="004E4DAD"/>
    <w:rsid w:val="005075A3"/>
    <w:rsid w:val="00523942"/>
    <w:rsid w:val="00525BBB"/>
    <w:rsid w:val="00593317"/>
    <w:rsid w:val="005C3989"/>
    <w:rsid w:val="005E7E07"/>
    <w:rsid w:val="006100C7"/>
    <w:rsid w:val="00610B28"/>
    <w:rsid w:val="006743B8"/>
    <w:rsid w:val="00680623"/>
    <w:rsid w:val="006A4FB5"/>
    <w:rsid w:val="006B0BFB"/>
    <w:rsid w:val="006D1DA8"/>
    <w:rsid w:val="0074611C"/>
    <w:rsid w:val="007A2ADF"/>
    <w:rsid w:val="007B28E6"/>
    <w:rsid w:val="007E3904"/>
    <w:rsid w:val="00843904"/>
    <w:rsid w:val="00894A29"/>
    <w:rsid w:val="008A5A0B"/>
    <w:rsid w:val="008D110D"/>
    <w:rsid w:val="008E4F97"/>
    <w:rsid w:val="00940BA3"/>
    <w:rsid w:val="00950D36"/>
    <w:rsid w:val="00956A27"/>
    <w:rsid w:val="00982B04"/>
    <w:rsid w:val="009924F0"/>
    <w:rsid w:val="009D3F27"/>
    <w:rsid w:val="009E36A7"/>
    <w:rsid w:val="009E6BC9"/>
    <w:rsid w:val="00A350C4"/>
    <w:rsid w:val="00AC3458"/>
    <w:rsid w:val="00AD67D5"/>
    <w:rsid w:val="00AD727F"/>
    <w:rsid w:val="00B24F10"/>
    <w:rsid w:val="00B73C33"/>
    <w:rsid w:val="00B846FB"/>
    <w:rsid w:val="00B84BEF"/>
    <w:rsid w:val="00BB6E56"/>
    <w:rsid w:val="00C03FFA"/>
    <w:rsid w:val="00C12245"/>
    <w:rsid w:val="00C53226"/>
    <w:rsid w:val="00C95F8C"/>
    <w:rsid w:val="00CD18ED"/>
    <w:rsid w:val="00CF2DAA"/>
    <w:rsid w:val="00D66BFB"/>
    <w:rsid w:val="00D9059D"/>
    <w:rsid w:val="00DA12B1"/>
    <w:rsid w:val="00DA6656"/>
    <w:rsid w:val="00DE5620"/>
    <w:rsid w:val="00E513DD"/>
    <w:rsid w:val="00E82408"/>
    <w:rsid w:val="00ED765C"/>
    <w:rsid w:val="00EF5EE1"/>
    <w:rsid w:val="00F02DFE"/>
    <w:rsid w:val="00F05AB0"/>
    <w:rsid w:val="00F0760F"/>
    <w:rsid w:val="00F33D13"/>
    <w:rsid w:val="00F47D8B"/>
    <w:rsid w:val="00F627D0"/>
    <w:rsid w:val="00F841B6"/>
    <w:rsid w:val="00F92EA1"/>
    <w:rsid w:val="01041DE1"/>
    <w:rsid w:val="015B2BC4"/>
    <w:rsid w:val="04CD755E"/>
    <w:rsid w:val="05146BBE"/>
    <w:rsid w:val="08A952BF"/>
    <w:rsid w:val="08F61291"/>
    <w:rsid w:val="0A9E7CF1"/>
    <w:rsid w:val="0BF05825"/>
    <w:rsid w:val="0FBA4F87"/>
    <w:rsid w:val="1121214E"/>
    <w:rsid w:val="11E05876"/>
    <w:rsid w:val="17C85C11"/>
    <w:rsid w:val="17CD5A7B"/>
    <w:rsid w:val="184F4570"/>
    <w:rsid w:val="19837112"/>
    <w:rsid w:val="1C24781E"/>
    <w:rsid w:val="1C293FB3"/>
    <w:rsid w:val="1D036B90"/>
    <w:rsid w:val="1E0D155D"/>
    <w:rsid w:val="1E641089"/>
    <w:rsid w:val="1ECA78AF"/>
    <w:rsid w:val="1EDD63B3"/>
    <w:rsid w:val="1F953A14"/>
    <w:rsid w:val="207C48B2"/>
    <w:rsid w:val="20F63843"/>
    <w:rsid w:val="22391A6D"/>
    <w:rsid w:val="22AA5187"/>
    <w:rsid w:val="259D5AA6"/>
    <w:rsid w:val="2C8F4403"/>
    <w:rsid w:val="3929057B"/>
    <w:rsid w:val="39872104"/>
    <w:rsid w:val="3CDD7E68"/>
    <w:rsid w:val="3E1D724F"/>
    <w:rsid w:val="3FAF36DB"/>
    <w:rsid w:val="42112CF3"/>
    <w:rsid w:val="43EC07F9"/>
    <w:rsid w:val="4537365B"/>
    <w:rsid w:val="468939F8"/>
    <w:rsid w:val="48A343FD"/>
    <w:rsid w:val="4A8B763F"/>
    <w:rsid w:val="4C3B4C27"/>
    <w:rsid w:val="4D1B1BA0"/>
    <w:rsid w:val="4DD522A0"/>
    <w:rsid w:val="53D170F4"/>
    <w:rsid w:val="54230502"/>
    <w:rsid w:val="566E6F5B"/>
    <w:rsid w:val="5A8E3042"/>
    <w:rsid w:val="5D584F52"/>
    <w:rsid w:val="5EB800DC"/>
    <w:rsid w:val="5F273BAD"/>
    <w:rsid w:val="5F600D4E"/>
    <w:rsid w:val="64036942"/>
    <w:rsid w:val="64612304"/>
    <w:rsid w:val="655F57E6"/>
    <w:rsid w:val="6BE35659"/>
    <w:rsid w:val="6CEC479F"/>
    <w:rsid w:val="6DFF6FF4"/>
    <w:rsid w:val="70A01FD4"/>
    <w:rsid w:val="71AE0AD6"/>
    <w:rsid w:val="732872C5"/>
    <w:rsid w:val="73C4646F"/>
    <w:rsid w:val="758933B2"/>
    <w:rsid w:val="760F3C08"/>
    <w:rsid w:val="76E319B4"/>
    <w:rsid w:val="7DB345EB"/>
    <w:rsid w:val="7FEB6FF3"/>
    <w:rsid w:val="7FF108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List"/>
    <w:basedOn w:val="1"/>
    <w:qFormat/>
    <w:uiPriority w:val="0"/>
    <w:pPr>
      <w:ind w:left="568" w:hanging="284"/>
    </w:pPr>
  </w:style>
  <w:style w:type="table" w:styleId="6">
    <w:name w:val="Table Grid"/>
    <w:basedOn w:val="5"/>
    <w:qFormat/>
    <w:uiPriority w:val="0"/>
    <w:pPr>
      <w:widowControl/>
      <w:jc w:val="left"/>
    </w:pPr>
    <w:rPr>
      <w:rFonts w:ascii="Times New Roman" w:hAnsi="Times New Roman" w:eastAsia="宋体"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页眉 字符"/>
    <w:basedOn w:val="7"/>
    <w:link w:val="3"/>
    <w:qFormat/>
    <w:uiPriority w:val="99"/>
    <w:rPr>
      <w:sz w:val="18"/>
      <w:szCs w:val="18"/>
    </w:rPr>
  </w:style>
  <w:style w:type="character" w:customStyle="1" w:styleId="9">
    <w:name w:val="页脚 字符"/>
    <w:basedOn w:val="7"/>
    <w:link w:val="2"/>
    <w:qFormat/>
    <w:uiPriority w:val="99"/>
    <w:rPr>
      <w:sz w:val="18"/>
      <w:szCs w:val="18"/>
    </w:rPr>
  </w:style>
  <w:style w:type="paragraph" w:customStyle="1" w:styleId="10">
    <w:name w:val="TH"/>
    <w:basedOn w:val="1"/>
    <w:qFormat/>
    <w:uiPriority w:val="0"/>
    <w:pPr>
      <w:keepNext/>
      <w:keepLines/>
      <w:widowControl/>
      <w:spacing w:before="60" w:after="180"/>
      <w:jc w:val="center"/>
    </w:pPr>
    <w:rPr>
      <w:rFonts w:ascii="Arial" w:hAnsi="Arial" w:eastAsia="等线" w:cs="Times New Roman"/>
      <w:b/>
      <w:kern w:val="0"/>
      <w:sz w:val="20"/>
      <w:szCs w:val="20"/>
      <w:lang w:val="en-GB" w:eastAsia="en-US"/>
    </w:rPr>
  </w:style>
  <w:style w:type="paragraph" w:customStyle="1" w:styleId="11">
    <w:name w:val="TF"/>
    <w:basedOn w:val="10"/>
    <w:qFormat/>
    <w:uiPriority w:val="0"/>
    <w:pPr>
      <w:keepNext w:val="0"/>
      <w:spacing w:before="0" w:after="240"/>
    </w:pPr>
  </w:style>
  <w:style w:type="paragraph" w:styleId="12">
    <w:name w:val="List Paragraph"/>
    <w:basedOn w:val="1"/>
    <w:qFormat/>
    <w:uiPriority w:val="34"/>
    <w:pPr>
      <w:ind w:firstLine="420" w:firstLineChars="200"/>
    </w:pPr>
  </w:style>
  <w:style w:type="paragraph" w:customStyle="1" w:styleId="13">
    <w:name w:val="B1"/>
    <w:basedOn w:val="4"/>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1584</Words>
  <Characters>9033</Characters>
  <Lines>75</Lines>
  <Paragraphs>21</Paragraphs>
  <TotalTime>8</TotalTime>
  <ScaleCrop>false</ScaleCrop>
  <LinksUpToDate>false</LinksUpToDate>
  <CharactersWithSpaces>10596</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2022-08-03T06:38:00Z</dcterms:created>
  <dc:creator>CMCC_TJY</dc:creator>
  <cp:lastModifiedBy>CMCC</cp:lastModifiedBy>
  <dcterms:modified xsi:type="dcterms:W3CDTF">2023-02-17T07:10:34Z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85E7628DF4A0490ABB5062ED5E04D660</vt:lpwstr>
  </property>
</Properties>
</file>